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13" w:rsidRPr="002A0EDB" w:rsidRDefault="008A7D13" w:rsidP="008A7D13">
      <w:pPr>
        <w:outlineLvl w:val="0"/>
        <w:rPr>
          <w:rFonts w:ascii="Tahoma" w:hAnsi="Tahoma" w:cs="Tahoma"/>
          <w:sz w:val="36"/>
          <w:szCs w:val="48"/>
        </w:rPr>
      </w:pPr>
      <w:r w:rsidRPr="002A0EDB">
        <w:rPr>
          <w:rFonts w:ascii="Tahoma" w:hAnsi="Tahoma" w:cs="Tahoma"/>
          <w:b/>
          <w:color w:val="92D050"/>
          <w:sz w:val="36"/>
          <w:szCs w:val="48"/>
        </w:rPr>
        <w:t>BOARD OF TRUSTEES</w:t>
      </w:r>
    </w:p>
    <w:p w:rsidR="008A7D13" w:rsidRPr="002A0EDB" w:rsidRDefault="008A7D13" w:rsidP="008A7D13">
      <w:pPr>
        <w:jc w:val="center"/>
        <w:rPr>
          <w:rFonts w:ascii="Tahoma" w:hAnsi="Tahoma" w:cs="Tahoma"/>
          <w:sz w:val="14"/>
          <w:szCs w:val="16"/>
        </w:rPr>
      </w:pPr>
      <w:r w:rsidRPr="002C036B">
        <w:rPr>
          <w:rFonts w:ascii="Tahoma" w:hAnsi="Tahoma" w:cs="Tahoma"/>
          <w:noProof/>
          <w:color w:val="7030A0"/>
          <w:sz w:val="20"/>
          <w:szCs w:val="20"/>
        </w:rPr>
        <mc:AlternateContent>
          <mc:Choice Requires="wps">
            <w:drawing>
              <wp:anchor distT="0" distB="0" distL="114300" distR="114300" simplePos="0" relativeHeight="251659264" behindDoc="0" locked="0" layoutInCell="1" allowOverlap="1" wp14:anchorId="28FA8296" wp14:editId="2D708DBC">
                <wp:simplePos x="0" y="0"/>
                <wp:positionH relativeFrom="column">
                  <wp:posOffset>0</wp:posOffset>
                </wp:positionH>
                <wp:positionV relativeFrom="paragraph">
                  <wp:posOffset>76200</wp:posOffset>
                </wp:positionV>
                <wp:extent cx="54864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anchor>
            </w:drawing>
          </mc:Choice>
          <mc:Fallback>
            <w:pict>
              <v:line w14:anchorId="67D823E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6YvAEAAF4DAAAOAAAAZHJzL2Uyb0RvYy54bWysU01v2zAMvQ/YfxB0X+ykH0iNOD0k6C5D&#10;F6DbD2Bk2RagL5BanPz7Ukqaddut2EUWRfKR75FePR6dFQeNZIJv5XxWS6G9Cp3xQyt//nj6spSC&#10;EvgObPC6lSdN8nH9+dNqio1ehDHYTqNgEE/NFFs5phSbqiI1agc0C1F7dvYBHSQ2cag6hInRna0W&#10;dX1fTQG7iEFpIn7dnp1yXfD7Xqv0ve9JJ2Fbyb2lcmI59/ms1itoBoQ4GnVpAz7QhQPjuegVagsJ&#10;xC80/0A5ozBQ6NNMBVeFvjdKFw7MZl7/xeZlhKgLFxaH4lUm+n+w6vmwQ2G6Vt5I4cHxiF4SghnG&#10;JDbBexYwoLjJOk2RGg7f+B1eLIo7zKSPPbr8ZTriWLQ9XbXVxyQUP97dLu9vax6BevNVvxMjUvqq&#10;gxP50kprfKYNDRy+UeJiHPoWkp99eDLWltFZLybufTkv0MAb1FtIXMVF5kR+kALswKupEhZICtZ0&#10;OT0DEQ77jUVxAF6Ph8W2visbweX+CMu1t0DjOa64siAcZn2G0WXRLq1mmc7C5Ns+dKeiV5UtHmJJ&#10;uyxc3pL3Nt/f/xbrVwAAAP//AwBQSwMEFAAGAAgAAAAhAB+MNS7cAAAABgEAAA8AAABkcnMvZG93&#10;bnJldi54bWxMj0FPwzAMhe9I/IfISFwQSztg2krTaZqEOIAEbJN29RrTVjROabK1/HuMOMDJ9nvW&#10;8+d8ObpWnagPjWcD6SQBRVx623BlYLd9uJ6DChHZYuuZDHxRgGVxfpZjZv3Ab3TaxEpJCIcMDdQx&#10;dpnWoazJYZj4jli8d987jDL2lbY9DhLuWj1Nkpl22LBcqLGjdU3lx+boDNDry/5qna4Wd/r5aTG4&#10;9HH76W+MubwYV/egIo3xbxl+8AUdCmE6+CPboFoD8kgUdSpV3PnsVprDr6CLXP/HL74BAAD//wMA&#10;UEsBAi0AFAAGAAgAAAAhALaDOJL+AAAA4QEAABMAAAAAAAAAAAAAAAAAAAAAAFtDb250ZW50X1R5&#10;cGVzXS54bWxQSwECLQAUAAYACAAAACEAOP0h/9YAAACUAQAACwAAAAAAAAAAAAAAAAAvAQAAX3Jl&#10;bHMvLnJlbHNQSwECLQAUAAYACAAAACEASsbOmLwBAABeAwAADgAAAAAAAAAAAAAAAAAuAgAAZHJz&#10;L2Uyb0RvYy54bWxQSwECLQAUAAYACAAAACEAH4w1LtwAAAAGAQAADwAAAAAAAAAAAAAAAAAWBAAA&#10;ZHJzL2Rvd25yZXYueG1sUEsFBgAAAAAEAAQA8wAAAB8FAAAAAA==&#10;" strokecolor="#92d050" strokeweight="3pt"/>
            </w:pict>
          </mc:Fallback>
        </mc:AlternateContent>
      </w:r>
    </w:p>
    <w:p w:rsidR="008A7D13" w:rsidRPr="002A0EDB" w:rsidRDefault="008A7D13" w:rsidP="008A7D13">
      <w:pPr>
        <w:rPr>
          <w:rFonts w:ascii="Tahoma" w:hAnsi="Tahoma" w:cs="Tahoma"/>
          <w:b/>
          <w:sz w:val="14"/>
          <w:szCs w:val="22"/>
        </w:rPr>
      </w:pPr>
    </w:p>
    <w:p w:rsidR="008A7D13" w:rsidRPr="002A0EDB" w:rsidRDefault="008A7D13" w:rsidP="008A7D13">
      <w:pPr>
        <w:widowControl w:val="0"/>
        <w:jc w:val="both"/>
        <w:rPr>
          <w:rFonts w:ascii="Tahoma" w:hAnsi="Tahoma" w:cs="Tahoma"/>
          <w:sz w:val="21"/>
          <w:szCs w:val="21"/>
        </w:rPr>
      </w:pPr>
      <w:r w:rsidRPr="002A0EDB">
        <w:rPr>
          <w:rFonts w:ascii="Tahoma" w:hAnsi="Tahoma" w:cs="Tahoma"/>
          <w:sz w:val="21"/>
          <w:szCs w:val="21"/>
        </w:rPr>
        <w:t xml:space="preserve">Commerce Lexington’s most committed investors are recognized through our Board of Trustees Program, which provides those companies with special relationship building and recognition opportunities throughout the year. </w:t>
      </w:r>
    </w:p>
    <w:p w:rsidR="008A7D13" w:rsidRPr="002A0EDB" w:rsidRDefault="008A7D13" w:rsidP="008A7D13">
      <w:pPr>
        <w:widowControl w:val="0"/>
        <w:jc w:val="both"/>
        <w:rPr>
          <w:rFonts w:ascii="Tahoma" w:hAnsi="Tahoma" w:cs="Tahoma"/>
          <w:sz w:val="21"/>
          <w:szCs w:val="21"/>
        </w:rPr>
      </w:pPr>
    </w:p>
    <w:p w:rsidR="008A7D13" w:rsidRPr="002A0EDB" w:rsidRDefault="008A7D13" w:rsidP="008A7D13">
      <w:pPr>
        <w:widowControl w:val="0"/>
        <w:jc w:val="both"/>
        <w:rPr>
          <w:rFonts w:ascii="Tahoma" w:hAnsi="Tahoma" w:cs="Tahoma"/>
          <w:b/>
          <w:i/>
          <w:color w:val="92D050"/>
          <w:sz w:val="21"/>
          <w:szCs w:val="21"/>
        </w:rPr>
      </w:pPr>
      <w:r w:rsidRPr="002A0EDB">
        <w:rPr>
          <w:rFonts w:ascii="Tahoma" w:hAnsi="Tahoma" w:cs="Tahoma"/>
          <w:i/>
          <w:sz w:val="21"/>
          <w:szCs w:val="21"/>
        </w:rPr>
        <w:t xml:space="preserve">Many of our top investors recognize that their contributions to our organization enable us to provide benefits for small business members to help them succeed. These investors contribute because they support our efforts in the community. In turn, we provide our top investors with access to additional benefits and recognition. </w:t>
      </w:r>
    </w:p>
    <w:p w:rsidR="008A7D13" w:rsidRPr="002A0EDB" w:rsidRDefault="008A7D13" w:rsidP="008A7D13">
      <w:pPr>
        <w:jc w:val="both"/>
        <w:rPr>
          <w:rFonts w:ascii="Tahoma" w:hAnsi="Tahoma" w:cs="Tahoma"/>
          <w:b/>
          <w:color w:val="92D050"/>
          <w:sz w:val="21"/>
          <w:szCs w:val="21"/>
        </w:rPr>
      </w:pPr>
    </w:p>
    <w:p w:rsidR="008A7D13" w:rsidRPr="002A0EDB" w:rsidRDefault="008A7D13" w:rsidP="008A7D13">
      <w:pPr>
        <w:jc w:val="both"/>
        <w:rPr>
          <w:rFonts w:ascii="Tahoma" w:hAnsi="Tahoma" w:cs="Tahoma"/>
          <w:sz w:val="21"/>
          <w:szCs w:val="21"/>
        </w:rPr>
      </w:pPr>
      <w:r w:rsidRPr="002A0EDB">
        <w:rPr>
          <w:rFonts w:ascii="Tahoma" w:hAnsi="Tahoma" w:cs="Tahoma"/>
          <w:sz w:val="21"/>
          <w:szCs w:val="21"/>
        </w:rPr>
        <w:t xml:space="preserve">Before contacting a prospect about joining at the Trustee Level, call Lynda Bebrowsky, 859-226-1611, or Dana Zinger 859-226-1607 to determine the additional dues investment required to qualify. </w:t>
      </w:r>
      <w:r w:rsidRPr="002A0EDB">
        <w:rPr>
          <w:rFonts w:ascii="Tahoma" w:hAnsi="Tahoma" w:cs="Tahoma"/>
          <w:b/>
          <w:sz w:val="21"/>
          <w:szCs w:val="21"/>
        </w:rPr>
        <w:t xml:space="preserve">Companies already investing at one of these levels may also upgrade to a higher level within the trustee program. </w:t>
      </w:r>
      <w:r w:rsidRPr="002A0EDB">
        <w:rPr>
          <w:rFonts w:ascii="Tahoma" w:hAnsi="Tahoma" w:cs="Tahoma"/>
          <w:sz w:val="21"/>
          <w:szCs w:val="21"/>
        </w:rPr>
        <w:t xml:space="preserve">A Trustees Application </w:t>
      </w:r>
      <w:proofErr w:type="gramStart"/>
      <w:r w:rsidRPr="002A0EDB">
        <w:rPr>
          <w:rFonts w:ascii="Tahoma" w:hAnsi="Tahoma" w:cs="Tahoma"/>
          <w:sz w:val="21"/>
          <w:szCs w:val="21"/>
        </w:rPr>
        <w:t>is located in</w:t>
      </w:r>
      <w:proofErr w:type="gramEnd"/>
      <w:r w:rsidRPr="002A0EDB">
        <w:rPr>
          <w:rFonts w:ascii="Tahoma" w:hAnsi="Tahoma" w:cs="Tahoma"/>
          <w:sz w:val="21"/>
          <w:szCs w:val="21"/>
        </w:rPr>
        <w:t xml:space="preserve"> the Contracts section of this manual.</w:t>
      </w:r>
    </w:p>
    <w:p w:rsidR="008A7D13" w:rsidRPr="002A0EDB" w:rsidRDefault="008A7D13" w:rsidP="008A7D13">
      <w:pPr>
        <w:rPr>
          <w:rFonts w:ascii="Verdana" w:hAnsi="Verdana" w:cs="Tahoma"/>
          <w:b/>
          <w:color w:val="92D050"/>
          <w:sz w:val="21"/>
          <w:szCs w:val="21"/>
        </w:rPr>
      </w:pPr>
    </w:p>
    <w:p w:rsidR="008A7D13" w:rsidRPr="001F5C41" w:rsidRDefault="008A7D13" w:rsidP="008A7D13">
      <w:pPr>
        <w:rPr>
          <w:rFonts w:ascii="Tahoma" w:hAnsi="Tahoma" w:cs="Tahoma"/>
          <w:b/>
          <w:color w:val="92D050"/>
          <w:sz w:val="28"/>
          <w:szCs w:val="32"/>
        </w:rPr>
      </w:pPr>
      <w:r w:rsidRPr="00A177ED">
        <w:rPr>
          <w:rFonts w:ascii="Tahoma" w:hAnsi="Tahoma" w:cs="Tahoma"/>
          <w:b/>
          <w:color w:val="92D050"/>
          <w:sz w:val="28"/>
          <w:szCs w:val="32"/>
        </w:rPr>
        <w:t xml:space="preserve">Levels of Trustee Membership </w:t>
      </w:r>
    </w:p>
    <w:p w:rsidR="008A7D13" w:rsidRPr="0023662A" w:rsidRDefault="008A7D13" w:rsidP="008A7D13">
      <w:pPr>
        <w:widowControl w:val="0"/>
        <w:rPr>
          <w:rFonts w:ascii="Tahoma" w:hAnsi="Tahoma" w:cs="Tahoma"/>
          <w:b/>
          <w:bCs/>
          <w:color w:val="92D050"/>
          <w:sz w:val="16"/>
          <w:szCs w:val="20"/>
        </w:rPr>
      </w:pPr>
    </w:p>
    <w:p w:rsidR="008A7D13" w:rsidRPr="001F5C41" w:rsidRDefault="008A7D13" w:rsidP="008A7D13">
      <w:pPr>
        <w:widowControl w:val="0"/>
        <w:rPr>
          <w:rFonts w:ascii="Tahoma" w:hAnsi="Tahoma" w:cs="Tahoma"/>
          <w:b/>
          <w:bCs/>
          <w:color w:val="92D050"/>
          <w:szCs w:val="22"/>
        </w:rPr>
      </w:pPr>
      <w:r w:rsidRPr="001F5C41">
        <w:rPr>
          <w:rFonts w:ascii="Tahoma" w:hAnsi="Tahoma" w:cs="Tahoma"/>
          <w:b/>
          <w:bCs/>
          <w:color w:val="92D050"/>
          <w:szCs w:val="22"/>
        </w:rPr>
        <w:t>Bronze Level Investor • $2,000—$3,999 • Annual dues investment</w:t>
      </w:r>
    </w:p>
    <w:p w:rsidR="008A7D13" w:rsidRPr="001F5C41" w:rsidRDefault="008A7D13" w:rsidP="008A7D13">
      <w:pPr>
        <w:widowControl w:val="0"/>
        <w:rPr>
          <w:rFonts w:ascii="Tahoma" w:hAnsi="Tahoma" w:cs="Tahoma"/>
          <w:sz w:val="12"/>
          <w:szCs w:val="12"/>
        </w:rPr>
      </w:pPr>
      <w:r w:rsidRPr="001F5C41">
        <w:rPr>
          <w:rFonts w:ascii="Tahoma" w:hAnsi="Tahoma" w:cs="Tahoma"/>
          <w:sz w:val="12"/>
          <w:szCs w:val="12"/>
        </w:rPr>
        <w:t> </w:t>
      </w:r>
    </w:p>
    <w:p w:rsidR="008A7D13" w:rsidRPr="001F4EDB" w:rsidRDefault="008A7D13" w:rsidP="008A7D13">
      <w:pPr>
        <w:widowControl w:val="0"/>
        <w:rPr>
          <w:rFonts w:ascii="Tahoma" w:hAnsi="Tahoma" w:cs="Tahoma"/>
          <w:sz w:val="20"/>
          <w:szCs w:val="20"/>
        </w:rPr>
      </w:pPr>
      <w:r w:rsidRPr="001F4EDB">
        <w:rPr>
          <w:rFonts w:ascii="Tahoma" w:hAnsi="Tahoma" w:cs="Tahoma"/>
          <w:sz w:val="21"/>
          <w:szCs w:val="21"/>
        </w:rPr>
        <w:t>Currently investing at this level (as of June 1, 2018):  </w:t>
      </w:r>
    </w:p>
    <w:p w:rsidR="008A7D13" w:rsidRPr="001F4EDB" w:rsidRDefault="008A7D13" w:rsidP="008A7D13">
      <w:pPr>
        <w:widowControl w:val="0"/>
        <w:rPr>
          <w:rFonts w:ascii="Tahoma" w:hAnsi="Tahoma" w:cs="Tahoma"/>
          <w:sz w:val="20"/>
          <w:szCs w:val="20"/>
        </w:rPr>
      </w:pPr>
      <w:r w:rsidRPr="001F4EDB">
        <w:rPr>
          <w:rFonts w:ascii="Tahoma" w:hAnsi="Tahoma" w:cs="Tahoma"/>
          <w:sz w:val="20"/>
          <w:szCs w:val="20"/>
        </w:rPr>
        <w:t> </w:t>
      </w:r>
    </w:p>
    <w:p w:rsidR="008A7D13" w:rsidRPr="001F4EDB" w:rsidRDefault="008A7D13" w:rsidP="008A7D13">
      <w:pPr>
        <w:pStyle w:val="ListParagraph"/>
        <w:widowControl w:val="0"/>
        <w:numPr>
          <w:ilvl w:val="0"/>
          <w:numId w:val="1"/>
        </w:numPr>
        <w:rPr>
          <w:rFonts w:ascii="Tahoma" w:hAnsi="Tahoma" w:cs="Tahoma"/>
          <w:sz w:val="20"/>
          <w:szCs w:val="20"/>
        </w:rPr>
        <w:sectPr w:rsidR="008A7D13" w:rsidRPr="001F4EDB" w:rsidSect="008A7D13">
          <w:footerReference w:type="default" r:id="rId5"/>
          <w:pgSz w:w="12240" w:h="15840" w:code="1"/>
          <w:pgMar w:top="1440" w:right="1800" w:bottom="1440" w:left="1800" w:header="720" w:footer="720" w:gutter="0"/>
          <w:paperSrc w:first="15" w:other="15"/>
          <w:pgNumType w:start="16"/>
          <w:cols w:space="720"/>
          <w:docGrid w:linePitch="360"/>
        </w:sectPr>
      </w:pP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ADCOLOR</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Amteck</w:t>
      </w:r>
      <w:proofErr w:type="spellEnd"/>
      <w:r w:rsidRPr="001F4EDB">
        <w:rPr>
          <w:rFonts w:ascii="Tahoma" w:hAnsi="Tahoma" w:cs="Tahoma"/>
          <w:sz w:val="19"/>
          <w:szCs w:val="19"/>
        </w:rPr>
        <w:t xml:space="preserve"> 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Associations International, LLC</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AssuredPartners</w:t>
      </w:r>
      <w:proofErr w:type="spellEnd"/>
      <w:r w:rsidRPr="001F4EDB">
        <w:rPr>
          <w:rFonts w:ascii="Tahoma" w:hAnsi="Tahoma" w:cs="Tahoma"/>
          <w:sz w:val="19"/>
          <w:szCs w:val="19"/>
        </w:rPr>
        <w:t xml:space="preserve"> NL</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Ball Homes,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Bank of Lexington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Bank of the Bluegrass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BB&amp;T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Beam Suntory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Big Ass Solutions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Bingham </w:t>
      </w:r>
      <w:proofErr w:type="spellStart"/>
      <w:r w:rsidRPr="001F4EDB">
        <w:rPr>
          <w:rFonts w:ascii="Tahoma" w:hAnsi="Tahoma" w:cs="Tahoma"/>
          <w:sz w:val="19"/>
          <w:szCs w:val="19"/>
        </w:rPr>
        <w:t>Greenebaum</w:t>
      </w:r>
      <w:proofErr w:type="spellEnd"/>
      <w:r w:rsidRPr="001F4EDB">
        <w:rPr>
          <w:rFonts w:ascii="Tahoma" w:hAnsi="Tahoma" w:cs="Tahoma"/>
          <w:sz w:val="19"/>
          <w:szCs w:val="19"/>
        </w:rPr>
        <w:t xml:space="preserve"> Doll LLP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Blue &amp; Co., 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Blue Grass Airport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Bluegrass Care Navigators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Bluegrass Community &amp; Technical College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Bluegrass Veterinary Specialists + Animal Emergency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Bluegrass.org</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Breeders’ Cup Limited</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Brett Construction Company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Brock McVey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C-Forward</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The Campbell House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Cardinal Hill Rehabilitation Hospital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Chase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CMW,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Columbia Gas of Kentucky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Community Trust Bank</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Congleton</w:t>
      </w:r>
      <w:proofErr w:type="spellEnd"/>
      <w:r w:rsidRPr="001F4EDB">
        <w:rPr>
          <w:rFonts w:ascii="Tahoma" w:hAnsi="Tahoma" w:cs="Tahoma"/>
          <w:sz w:val="19"/>
          <w:szCs w:val="19"/>
        </w:rPr>
        <w:t xml:space="preserve">-Hacker Co.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Creative Lodging Solutions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Crowe LLP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Davis H. Elliot Company,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Dean Dorton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Dickinson Wright</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Dinsmore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Don Franklin Auto Mall</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East Kentucky Power Cooperative, Inc.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Energy Insurance Agency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Fayette County Public Schools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Fayette Heating &amp; Air</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Field &amp; Main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First Security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First State Bank of the Southeast</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Fister</w:t>
      </w:r>
      <w:proofErr w:type="spellEnd"/>
      <w:r w:rsidRPr="001F4EDB">
        <w:rPr>
          <w:rFonts w:ascii="Tahoma" w:hAnsi="Tahoma" w:cs="Tahoma"/>
          <w:sz w:val="19"/>
          <w:szCs w:val="19"/>
        </w:rPr>
        <w:t xml:space="preserve"> Incorporated</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Forcht</w:t>
      </w:r>
      <w:proofErr w:type="spellEnd"/>
      <w:r w:rsidRPr="001F4EDB">
        <w:rPr>
          <w:rFonts w:ascii="Tahoma" w:hAnsi="Tahoma" w:cs="Tahoma"/>
          <w:sz w:val="19"/>
          <w:szCs w:val="19"/>
        </w:rPr>
        <w:t xml:space="preserve">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Fowler Bell PLLC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Frost Brown Todd 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Georgia-Pacific</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Gess</w:t>
      </w:r>
      <w:proofErr w:type="spellEnd"/>
      <w:r w:rsidRPr="001F4EDB">
        <w:rPr>
          <w:rFonts w:ascii="Tahoma" w:hAnsi="Tahoma" w:cs="Tahoma"/>
          <w:sz w:val="19"/>
          <w:szCs w:val="19"/>
        </w:rPr>
        <w:t>, Mattingly &amp; Atchison, PSC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Gray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Griffin Gate Marriott Resort &amp; Spa</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Hanna Resource Group</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Hillenmeyer - </w:t>
      </w:r>
      <w:proofErr w:type="spellStart"/>
      <w:r w:rsidRPr="001F4EDB">
        <w:rPr>
          <w:rFonts w:ascii="Tahoma" w:hAnsi="Tahoma" w:cs="Tahoma"/>
          <w:sz w:val="19"/>
          <w:szCs w:val="19"/>
        </w:rPr>
        <w:t>Weedman</w:t>
      </w:r>
      <w:proofErr w:type="spellEnd"/>
      <w:r w:rsidRPr="001F4EDB">
        <w:rPr>
          <w:rFonts w:ascii="Tahoma" w:hAnsi="Tahoma" w:cs="Tahoma"/>
          <w:sz w:val="19"/>
          <w:szCs w:val="19"/>
        </w:rPr>
        <w:t xml:space="preserve"> </w:t>
      </w:r>
      <w:proofErr w:type="gramStart"/>
      <w:r w:rsidRPr="001F4EDB">
        <w:rPr>
          <w:rFonts w:ascii="Tahoma" w:hAnsi="Tahoma" w:cs="Tahoma"/>
          <w:sz w:val="19"/>
          <w:szCs w:val="19"/>
        </w:rPr>
        <w:t>-  Mosquito</w:t>
      </w:r>
      <w:proofErr w:type="gramEnd"/>
      <w:r w:rsidRPr="001F4EDB">
        <w:rPr>
          <w:rFonts w:ascii="Tahoma" w:hAnsi="Tahoma" w:cs="Tahoma"/>
          <w:sz w:val="19"/>
          <w:szCs w:val="19"/>
        </w:rPr>
        <w:t xml:space="preserve"> Authority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Hilton Lexington Downtown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Humana Kentucky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Hyatt Regency Lexington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Innovative Mattress Solutions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lastRenderedPageBreak/>
        <w:t>Integrity IT</w:t>
      </w:r>
    </w:p>
    <w:p w:rsidR="008A7D13" w:rsidRPr="001F4EDB" w:rsidRDefault="008A7D13" w:rsidP="008A7D13">
      <w:pPr>
        <w:pStyle w:val="ListParagraph"/>
        <w:numPr>
          <w:ilvl w:val="0"/>
          <w:numId w:val="1"/>
        </w:numPr>
        <w:tabs>
          <w:tab w:val="left" w:pos="180"/>
        </w:tabs>
        <w:ind w:right="15"/>
        <w:rPr>
          <w:rFonts w:ascii="Tahoma" w:hAnsi="Tahoma" w:cs="Tahoma"/>
          <w:sz w:val="19"/>
          <w:szCs w:val="19"/>
        </w:rPr>
      </w:pPr>
      <w:r w:rsidRPr="001F4EDB">
        <w:rPr>
          <w:rFonts w:ascii="Tahoma" w:hAnsi="Tahoma" w:cs="Tahoma"/>
          <w:sz w:val="19"/>
          <w:szCs w:val="19"/>
        </w:rPr>
        <w:t>J. Smith Lanier, A Marsh &amp; McLennan Agency, LLC, Company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J.J.B. Hilliard, W.L. Lyons 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JMI Sports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Kentucky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Kentucky Community &amp; Technical College System</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Kentucky Eagle,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Kentucky League of Cities</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Kinkead</w:t>
      </w:r>
      <w:proofErr w:type="spellEnd"/>
      <w:r w:rsidRPr="001F4EDB">
        <w:rPr>
          <w:rFonts w:ascii="Tahoma" w:hAnsi="Tahoma" w:cs="Tahoma"/>
          <w:sz w:val="19"/>
          <w:szCs w:val="19"/>
        </w:rPr>
        <w:t xml:space="preserve"> &amp; </w:t>
      </w:r>
      <w:proofErr w:type="spellStart"/>
      <w:r w:rsidRPr="001F4EDB">
        <w:rPr>
          <w:rFonts w:ascii="Tahoma" w:hAnsi="Tahoma" w:cs="Tahoma"/>
          <w:sz w:val="19"/>
          <w:szCs w:val="19"/>
        </w:rPr>
        <w:t>Stilz</w:t>
      </w:r>
      <w:proofErr w:type="spellEnd"/>
      <w:r w:rsidRPr="001F4EDB">
        <w:rPr>
          <w:rFonts w:ascii="Tahoma" w:hAnsi="Tahoma" w:cs="Tahoma"/>
          <w:sz w:val="19"/>
          <w:szCs w:val="19"/>
        </w:rPr>
        <w:t>, PLLC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KLH Engineers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The Kroger Company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LBX Company LLC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Lexington Center Corporation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Lexington-Fayette County Health Department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Limestone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Link-Belt Cranes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Lockheed Martin </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Longship</w:t>
      </w:r>
      <w:proofErr w:type="spellEnd"/>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MCM, LLP</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Melia Realty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Members Heritage Credit Union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Messer Construction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More Than A Bakery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Morgan &amp; Pottinger, P.S.C.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The Office for Catholic Schools—Diocese of Lexington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Old National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OpenText</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Opportunity for Work &amp; Learning (OWL)</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Panera Bread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Passport Health Plan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Paul Miller Ford Mazda</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R. J. Corman Railroad Group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The Red Mile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Republic Services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Sam’s Club</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Sargent &amp; Greenleaf</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Shriner’s Hospitals for Children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SIS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Square D Co. by Schneider Electric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Stantec Consulting Services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Steptoe &amp; Johnson, PLLC </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Stites</w:t>
      </w:r>
      <w:proofErr w:type="spellEnd"/>
      <w:r w:rsidRPr="001F4EDB">
        <w:rPr>
          <w:rFonts w:ascii="Tahoma" w:hAnsi="Tahoma" w:cs="Tahoma"/>
          <w:sz w:val="19"/>
          <w:szCs w:val="19"/>
        </w:rPr>
        <w:t xml:space="preserve"> &amp; Harbison, PLLC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Sullivan University/Dale Carnegie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Sunbelt Rentals</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Tempur</w:t>
      </w:r>
      <w:proofErr w:type="spellEnd"/>
      <w:r w:rsidRPr="001F4EDB">
        <w:rPr>
          <w:rFonts w:ascii="Tahoma" w:hAnsi="Tahoma" w:cs="Tahoma"/>
          <w:sz w:val="19"/>
          <w:szCs w:val="19"/>
        </w:rPr>
        <w:t xml:space="preserve"> Sealy International,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Tiffany &amp; Co.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Town &amp; Country Bank &amp; Trust Co.</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Toyota on Nicholasville—Lexus of Lexington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Trane</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Transylvania University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U. S. Bank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United States Equestrian Federation, Inc.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University of Kentucky Federal Credit Union</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Van Meter Insurance Group</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Volo Careers International</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Volta,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W.T. Young, LLC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Waffle House/</w:t>
      </w:r>
      <w:proofErr w:type="spellStart"/>
      <w:r w:rsidRPr="001F4EDB">
        <w:rPr>
          <w:rFonts w:ascii="Tahoma" w:hAnsi="Tahoma" w:cs="Tahoma"/>
          <w:sz w:val="19"/>
          <w:szCs w:val="19"/>
        </w:rPr>
        <w:t>LexiDan</w:t>
      </w:r>
      <w:proofErr w:type="spellEnd"/>
      <w:r w:rsidRPr="001F4EDB">
        <w:rPr>
          <w:rFonts w:ascii="Tahoma" w:hAnsi="Tahoma" w:cs="Tahoma"/>
          <w:sz w:val="19"/>
          <w:szCs w:val="19"/>
        </w:rPr>
        <w:t xml:space="preserve"> Foods, 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Willows at Citation/Fritz Farm/Hamburg</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WKYT-TV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WLEX Communications, LLC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YMCA of Central Kentucky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The Zenith Company</w:t>
      </w:r>
    </w:p>
    <w:p w:rsidR="008A7D13" w:rsidRPr="001F4EDB" w:rsidRDefault="008A7D13" w:rsidP="008A7D13">
      <w:pPr>
        <w:pStyle w:val="ListParagraph"/>
        <w:widowControl w:val="0"/>
        <w:rPr>
          <w:sz w:val="20"/>
          <w:szCs w:val="20"/>
        </w:rPr>
      </w:pPr>
    </w:p>
    <w:p w:rsidR="008A7D13" w:rsidRDefault="008A7D13" w:rsidP="008A7D13">
      <w:pPr>
        <w:widowControl w:val="0"/>
        <w:rPr>
          <w:rFonts w:ascii="Verdana" w:hAnsi="Verdana"/>
          <w:sz w:val="20"/>
          <w:szCs w:val="20"/>
        </w:rPr>
      </w:pPr>
    </w:p>
    <w:p w:rsidR="008A7D13" w:rsidRDefault="008A7D13" w:rsidP="008A7D13">
      <w:pPr>
        <w:widowControl w:val="0"/>
        <w:rPr>
          <w:rFonts w:ascii="Verdana" w:hAnsi="Verdana"/>
          <w:sz w:val="20"/>
          <w:szCs w:val="20"/>
        </w:rPr>
        <w:sectPr w:rsidR="008A7D13" w:rsidSect="00164566">
          <w:type w:val="continuous"/>
          <w:pgSz w:w="12240" w:h="15840" w:code="1"/>
          <w:pgMar w:top="1440" w:right="1800" w:bottom="1440" w:left="1800" w:header="720" w:footer="720" w:gutter="0"/>
          <w:paperSrc w:first="15" w:other="15"/>
          <w:pgNumType w:start="16"/>
          <w:cols w:num="2" w:space="720"/>
          <w:docGrid w:linePitch="360"/>
        </w:sectPr>
      </w:pPr>
    </w:p>
    <w:p w:rsidR="008A7D13" w:rsidRDefault="008A7D13" w:rsidP="008A7D13">
      <w:pPr>
        <w:widowControl w:val="0"/>
        <w:rPr>
          <w:rFonts w:ascii="Verdana" w:hAnsi="Verdana"/>
          <w:sz w:val="20"/>
          <w:szCs w:val="20"/>
        </w:rPr>
      </w:pPr>
    </w:p>
    <w:p w:rsidR="008A7D13" w:rsidRPr="001F5C41" w:rsidRDefault="008A7D13" w:rsidP="008A7D13">
      <w:pPr>
        <w:rPr>
          <w:rFonts w:ascii="Tahoma" w:hAnsi="Tahoma" w:cs="Tahoma"/>
          <w:b/>
          <w:bCs/>
          <w:sz w:val="21"/>
          <w:szCs w:val="21"/>
        </w:rPr>
      </w:pPr>
      <w:r w:rsidRPr="001F5C41">
        <w:rPr>
          <w:rFonts w:ascii="Tahoma" w:hAnsi="Tahoma" w:cs="Tahoma"/>
          <w:b/>
          <w:bCs/>
          <w:sz w:val="21"/>
          <w:szCs w:val="21"/>
        </w:rPr>
        <w:t>Benefits for Bronze Level Investors:</w:t>
      </w:r>
    </w:p>
    <w:p w:rsidR="008A7D13" w:rsidRPr="0023662A" w:rsidRDefault="008A7D13" w:rsidP="008A7D13">
      <w:pPr>
        <w:widowControl w:val="0"/>
        <w:rPr>
          <w:rFonts w:ascii="Verdana" w:hAnsi="Verdana"/>
          <w:b/>
          <w:bCs/>
          <w:sz w:val="16"/>
          <w:szCs w:val="20"/>
        </w:rPr>
      </w:pPr>
      <w:r w:rsidRPr="00164566">
        <w:rPr>
          <w:rFonts w:ascii="Verdana" w:hAnsi="Verdana"/>
          <w:b/>
          <w:bCs/>
          <w:sz w:val="20"/>
          <w:szCs w:val="20"/>
        </w:rPr>
        <w:t> </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Recognized with an enhanced listing in the online directory at CommerceLexington.com</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Receive distinguished recognition in the lobby of the Commerce Lexington office with a special Trustee’s plaque, and a plaque for the Trustee’s office</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Trustees receive special recognition in Commerce Lexington’s monthly newsletter, Business Focus, any Annual/Quarterly Reports, and on the Commerce Lexington website.</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Special seating consideration and recognition at Commerce Lexington’s Annual Dinner and Salute to Small Business Luncheon</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Receive a copy of the Report to the Board following each meeting, which includes staff departmental updates</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Trustees placed on Commerce Lexington’s VIP mailing list to receive invitations to special community events and functions</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 xml:space="preserve">Invited to special VIP receptions and special events for major investor and community </w:t>
      </w:r>
      <w:r>
        <w:rPr>
          <w:rFonts w:ascii="Tahoma" w:hAnsi="Tahoma" w:cs="Tahoma"/>
          <w:bCs/>
          <w:sz w:val="21"/>
          <w:szCs w:val="21"/>
        </w:rPr>
        <w:t>l</w:t>
      </w:r>
      <w:r w:rsidRPr="001F5C41">
        <w:rPr>
          <w:rFonts w:ascii="Tahoma" w:hAnsi="Tahoma" w:cs="Tahoma"/>
          <w:bCs/>
          <w:sz w:val="21"/>
          <w:szCs w:val="21"/>
        </w:rPr>
        <w:t>eaders</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Annual pass to the Business Link event series for one company representative</w:t>
      </w:r>
    </w:p>
    <w:p w:rsidR="008A7D13" w:rsidRPr="001F5C41" w:rsidRDefault="008A7D13" w:rsidP="008A7D13">
      <w:pPr>
        <w:pStyle w:val="ListParagraph"/>
        <w:widowControl w:val="0"/>
        <w:numPr>
          <w:ilvl w:val="0"/>
          <w:numId w:val="4"/>
        </w:numPr>
        <w:rPr>
          <w:rFonts w:ascii="Tahoma" w:hAnsi="Tahoma" w:cs="Tahoma"/>
          <w:bCs/>
          <w:sz w:val="21"/>
          <w:szCs w:val="21"/>
        </w:rPr>
      </w:pPr>
      <w:r w:rsidRPr="001F5C41">
        <w:rPr>
          <w:rFonts w:ascii="Tahoma" w:hAnsi="Tahoma" w:cs="Tahoma"/>
          <w:bCs/>
          <w:sz w:val="21"/>
          <w:szCs w:val="21"/>
        </w:rPr>
        <w:t>Receive a complimentary Commerce Lexington membership disk</w:t>
      </w:r>
    </w:p>
    <w:p w:rsidR="008A7D13" w:rsidRPr="000B2606" w:rsidRDefault="008A7D13" w:rsidP="008A7D13">
      <w:pPr>
        <w:pStyle w:val="ListParagraph"/>
        <w:widowControl w:val="0"/>
        <w:numPr>
          <w:ilvl w:val="0"/>
          <w:numId w:val="4"/>
        </w:numPr>
        <w:rPr>
          <w:rFonts w:ascii="Verdana" w:hAnsi="Verdana"/>
          <w:bCs/>
          <w:sz w:val="20"/>
          <w:szCs w:val="20"/>
        </w:rPr>
      </w:pPr>
      <w:proofErr w:type="gramStart"/>
      <w:r w:rsidRPr="001F5C41">
        <w:rPr>
          <w:rFonts w:ascii="Tahoma" w:hAnsi="Tahoma" w:cs="Tahoma"/>
          <w:bCs/>
          <w:sz w:val="21"/>
          <w:szCs w:val="21"/>
        </w:rPr>
        <w:t>Plus</w:t>
      </w:r>
      <w:proofErr w:type="gramEnd"/>
      <w:r w:rsidRPr="001F5C41">
        <w:rPr>
          <w:rFonts w:ascii="Tahoma" w:hAnsi="Tahoma" w:cs="Tahoma"/>
          <w:bCs/>
          <w:sz w:val="21"/>
          <w:szCs w:val="21"/>
        </w:rPr>
        <w:t xml:space="preserve"> all STANDARD Level investor benefits</w:t>
      </w:r>
    </w:p>
    <w:p w:rsidR="008A7D13" w:rsidRPr="00164566" w:rsidRDefault="008A7D13" w:rsidP="008A7D13">
      <w:pPr>
        <w:pStyle w:val="ListParagraph"/>
        <w:widowControl w:val="0"/>
        <w:rPr>
          <w:rFonts w:ascii="Verdana" w:hAnsi="Verdana"/>
          <w:bCs/>
          <w:sz w:val="20"/>
          <w:szCs w:val="20"/>
        </w:rPr>
      </w:pPr>
    </w:p>
    <w:p w:rsidR="008A7D13" w:rsidRPr="001F5C41" w:rsidRDefault="008A7D13" w:rsidP="008A7D13">
      <w:pPr>
        <w:widowControl w:val="0"/>
        <w:rPr>
          <w:rFonts w:ascii="Tahoma" w:hAnsi="Tahoma" w:cs="Tahoma"/>
          <w:b/>
          <w:bCs/>
          <w:color w:val="92D050"/>
          <w:sz w:val="22"/>
          <w:szCs w:val="20"/>
        </w:rPr>
      </w:pPr>
      <w:r w:rsidRPr="001F5C41">
        <w:rPr>
          <w:rFonts w:ascii="Tahoma" w:hAnsi="Tahoma" w:cs="Tahoma"/>
          <w:b/>
          <w:bCs/>
          <w:color w:val="92D050"/>
          <w:szCs w:val="22"/>
        </w:rPr>
        <w:t>Silver Level Investor • $4,000—$7,999 • Annual dues investment</w:t>
      </w:r>
    </w:p>
    <w:p w:rsidR="008A7D13" w:rsidRDefault="008A7D13" w:rsidP="008A7D13">
      <w:pPr>
        <w:widowControl w:val="0"/>
        <w:rPr>
          <w:rFonts w:ascii="ScalaSans-Regular" w:hAnsi="ScalaSans-Regular"/>
          <w:sz w:val="16"/>
          <w:szCs w:val="16"/>
        </w:rPr>
      </w:pPr>
      <w:r>
        <w:rPr>
          <w:rFonts w:ascii="ScalaSans-Regular" w:hAnsi="ScalaSans-Regular"/>
          <w:sz w:val="16"/>
          <w:szCs w:val="16"/>
        </w:rPr>
        <w:t> </w:t>
      </w:r>
    </w:p>
    <w:p w:rsidR="008A7D13" w:rsidRPr="001F4EDB" w:rsidRDefault="008A7D13" w:rsidP="008A7D13">
      <w:pPr>
        <w:widowControl w:val="0"/>
        <w:rPr>
          <w:rFonts w:ascii="Tahoma" w:hAnsi="Tahoma" w:cs="Tahoma"/>
          <w:sz w:val="21"/>
          <w:szCs w:val="21"/>
        </w:rPr>
      </w:pPr>
      <w:r w:rsidRPr="001F4EDB">
        <w:rPr>
          <w:rFonts w:ascii="Tahoma" w:hAnsi="Tahoma" w:cs="Tahoma"/>
          <w:sz w:val="21"/>
          <w:szCs w:val="21"/>
        </w:rPr>
        <w:t>Currently investing at this level (as of June 1, 2018)</w:t>
      </w:r>
    </w:p>
    <w:p w:rsidR="008A7D13" w:rsidRPr="001F4EDB" w:rsidRDefault="008A7D13" w:rsidP="008A7D13">
      <w:pPr>
        <w:widowControl w:val="0"/>
        <w:rPr>
          <w:rFonts w:ascii="Tahoma" w:hAnsi="Tahoma" w:cs="Tahoma"/>
          <w:sz w:val="21"/>
          <w:szCs w:val="21"/>
        </w:rPr>
      </w:pP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Alliance Coal</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Alltech</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Charter Communications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City National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Conduent</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Cumberland Valley National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Eastern Kentucky University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Fifth Third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H-L Media</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Keeneland Association, Inc.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Kentucky American Water</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KEMI</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KU a PPL Company</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Lexington Clinic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McBrayer, McGinnis, Leslie &amp; Kirkland, PLLC</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PNC Bank</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Republic Bank &amp; Trust Co.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Valvoline</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WesBanco</w:t>
      </w:r>
      <w:proofErr w:type="spellEnd"/>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Windstream Communications</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Wyatt Tarrant &amp; Combs, LLP</w:t>
      </w:r>
    </w:p>
    <w:p w:rsidR="008A7D13" w:rsidRPr="001F4EDB" w:rsidRDefault="008A7D13" w:rsidP="008A7D13">
      <w:pPr>
        <w:widowControl w:val="0"/>
      </w:pPr>
      <w:r w:rsidRPr="001F4EDB">
        <w:t> </w:t>
      </w:r>
    </w:p>
    <w:p w:rsidR="008A7D13" w:rsidRPr="001F5C41" w:rsidRDefault="008A7D13" w:rsidP="008A7D13">
      <w:pPr>
        <w:rPr>
          <w:rFonts w:ascii="Tahoma" w:hAnsi="Tahoma" w:cs="Tahoma"/>
          <w:b/>
          <w:bCs/>
          <w:sz w:val="21"/>
          <w:szCs w:val="21"/>
        </w:rPr>
      </w:pPr>
      <w:r w:rsidRPr="001F5C41">
        <w:rPr>
          <w:rFonts w:ascii="Tahoma" w:hAnsi="Tahoma" w:cs="Tahoma"/>
          <w:b/>
          <w:bCs/>
          <w:sz w:val="21"/>
          <w:szCs w:val="21"/>
        </w:rPr>
        <w:t>Benefits for Silver Level Investors:</w:t>
      </w:r>
    </w:p>
    <w:p w:rsidR="008A7D13" w:rsidRPr="001F5C41" w:rsidRDefault="008A7D13" w:rsidP="008A7D13">
      <w:pPr>
        <w:widowControl w:val="0"/>
        <w:rPr>
          <w:rFonts w:ascii="Tahoma" w:hAnsi="Tahoma" w:cs="Tahoma"/>
          <w:b/>
          <w:bCs/>
          <w:sz w:val="21"/>
          <w:szCs w:val="21"/>
        </w:rPr>
      </w:pPr>
      <w:r w:rsidRPr="001F5C41">
        <w:rPr>
          <w:rFonts w:ascii="Tahoma" w:hAnsi="Tahoma" w:cs="Tahoma"/>
          <w:b/>
          <w:bCs/>
          <w:sz w:val="21"/>
          <w:szCs w:val="21"/>
        </w:rPr>
        <w:t> </w:t>
      </w:r>
    </w:p>
    <w:p w:rsidR="008A7D13" w:rsidRPr="001F5C41" w:rsidRDefault="008A7D13" w:rsidP="008A7D13">
      <w:pPr>
        <w:pStyle w:val="ListParagraph"/>
        <w:widowControl w:val="0"/>
        <w:numPr>
          <w:ilvl w:val="0"/>
          <w:numId w:val="3"/>
        </w:numPr>
        <w:rPr>
          <w:rFonts w:ascii="Tahoma" w:hAnsi="Tahoma" w:cs="Tahoma"/>
          <w:bCs/>
          <w:sz w:val="21"/>
          <w:szCs w:val="21"/>
        </w:rPr>
      </w:pPr>
      <w:r w:rsidRPr="001F5C41">
        <w:rPr>
          <w:rFonts w:ascii="Tahoma" w:hAnsi="Tahoma" w:cs="Tahoma"/>
          <w:bCs/>
          <w:sz w:val="21"/>
          <w:szCs w:val="21"/>
        </w:rPr>
        <w:t>Annual visit from the Commerce Lexington executive staff</w:t>
      </w:r>
    </w:p>
    <w:p w:rsidR="008A7D13" w:rsidRPr="001F5C41" w:rsidRDefault="008A7D13" w:rsidP="008A7D13">
      <w:pPr>
        <w:pStyle w:val="ListParagraph"/>
        <w:widowControl w:val="0"/>
        <w:numPr>
          <w:ilvl w:val="0"/>
          <w:numId w:val="3"/>
        </w:numPr>
        <w:rPr>
          <w:rFonts w:ascii="Tahoma" w:hAnsi="Tahoma" w:cs="Tahoma"/>
          <w:bCs/>
          <w:sz w:val="21"/>
          <w:szCs w:val="21"/>
        </w:rPr>
      </w:pPr>
      <w:r w:rsidRPr="001F5C41">
        <w:rPr>
          <w:rFonts w:ascii="Tahoma" w:hAnsi="Tahoma" w:cs="Tahoma"/>
          <w:bCs/>
          <w:sz w:val="21"/>
          <w:szCs w:val="21"/>
        </w:rPr>
        <w:t>Annual pass to the Good Morning Bluegrass event series for one company representative</w:t>
      </w:r>
    </w:p>
    <w:p w:rsidR="008A7D13" w:rsidRPr="001F5C41" w:rsidRDefault="008A7D13" w:rsidP="008A7D13">
      <w:pPr>
        <w:pStyle w:val="ListParagraph"/>
        <w:widowControl w:val="0"/>
        <w:numPr>
          <w:ilvl w:val="0"/>
          <w:numId w:val="3"/>
        </w:numPr>
        <w:rPr>
          <w:rFonts w:ascii="Tahoma" w:hAnsi="Tahoma" w:cs="Tahoma"/>
          <w:bCs/>
          <w:sz w:val="21"/>
          <w:szCs w:val="21"/>
        </w:rPr>
      </w:pPr>
      <w:proofErr w:type="gramStart"/>
      <w:r w:rsidRPr="001F5C41">
        <w:rPr>
          <w:rFonts w:ascii="Tahoma" w:hAnsi="Tahoma" w:cs="Tahoma"/>
          <w:bCs/>
          <w:sz w:val="21"/>
          <w:szCs w:val="21"/>
        </w:rPr>
        <w:t>Plus</w:t>
      </w:r>
      <w:proofErr w:type="gramEnd"/>
      <w:r w:rsidRPr="001F5C41">
        <w:rPr>
          <w:rFonts w:ascii="Tahoma" w:hAnsi="Tahoma" w:cs="Tahoma"/>
          <w:bCs/>
          <w:sz w:val="21"/>
          <w:szCs w:val="21"/>
        </w:rPr>
        <w:t xml:space="preserve"> all BRONZE &amp; STANDARD Level investor benefits</w:t>
      </w:r>
    </w:p>
    <w:p w:rsidR="008A7D13" w:rsidRDefault="008A7D13" w:rsidP="008A7D13">
      <w:pPr>
        <w:widowControl w:val="0"/>
        <w:rPr>
          <w:rFonts w:ascii="Verdana" w:hAnsi="Verdana"/>
          <w:b/>
          <w:bCs/>
          <w:color w:val="92D050"/>
          <w:sz w:val="20"/>
          <w:szCs w:val="20"/>
        </w:rPr>
      </w:pPr>
    </w:p>
    <w:p w:rsidR="008A7D13" w:rsidRDefault="008A7D13" w:rsidP="008A7D13">
      <w:pPr>
        <w:widowControl w:val="0"/>
        <w:rPr>
          <w:rFonts w:ascii="Verdana" w:hAnsi="Verdana"/>
          <w:b/>
          <w:bCs/>
          <w:color w:val="92D050"/>
          <w:sz w:val="20"/>
          <w:szCs w:val="20"/>
        </w:rPr>
      </w:pPr>
    </w:p>
    <w:p w:rsidR="008A7D13" w:rsidRPr="001F5C41" w:rsidRDefault="008A7D13" w:rsidP="008A7D13">
      <w:pPr>
        <w:widowControl w:val="0"/>
        <w:rPr>
          <w:rFonts w:ascii="Tahoma" w:hAnsi="Tahoma" w:cs="Tahoma"/>
          <w:sz w:val="22"/>
          <w:szCs w:val="22"/>
        </w:rPr>
      </w:pPr>
      <w:r w:rsidRPr="001F5C41">
        <w:rPr>
          <w:rFonts w:ascii="Tahoma" w:hAnsi="Tahoma" w:cs="Tahoma"/>
          <w:b/>
          <w:bCs/>
          <w:color w:val="92D050"/>
          <w:szCs w:val="22"/>
        </w:rPr>
        <w:lastRenderedPageBreak/>
        <w:t xml:space="preserve">Gold Level Investor • $8000—$14,999 • Annual dues investment </w:t>
      </w:r>
    </w:p>
    <w:p w:rsidR="008A7D13" w:rsidRPr="00096717" w:rsidRDefault="008A7D13" w:rsidP="008A7D13">
      <w:pPr>
        <w:widowControl w:val="0"/>
        <w:rPr>
          <w:rFonts w:ascii="Verdana" w:hAnsi="Verdana"/>
          <w:sz w:val="20"/>
          <w:szCs w:val="20"/>
        </w:rPr>
      </w:pPr>
      <w:r w:rsidRPr="00096717">
        <w:rPr>
          <w:rFonts w:ascii="Verdana" w:hAnsi="Verdana"/>
          <w:sz w:val="20"/>
          <w:szCs w:val="20"/>
        </w:rPr>
        <w:t> </w:t>
      </w:r>
    </w:p>
    <w:p w:rsidR="008A7D13" w:rsidRPr="001F4EDB" w:rsidRDefault="008A7D13" w:rsidP="008A7D13">
      <w:pPr>
        <w:widowControl w:val="0"/>
        <w:rPr>
          <w:rFonts w:ascii="Tahoma" w:hAnsi="Tahoma" w:cs="Tahoma"/>
          <w:sz w:val="21"/>
          <w:szCs w:val="21"/>
        </w:rPr>
      </w:pPr>
      <w:r w:rsidRPr="001F4EDB">
        <w:rPr>
          <w:rFonts w:ascii="Tahoma" w:hAnsi="Tahoma" w:cs="Tahoma"/>
          <w:sz w:val="21"/>
          <w:szCs w:val="21"/>
        </w:rPr>
        <w:t>Currently investing at this level (as of June 1, 2018)</w:t>
      </w:r>
    </w:p>
    <w:p w:rsidR="008A7D13" w:rsidRPr="001F4EDB" w:rsidRDefault="008A7D13" w:rsidP="008A7D13">
      <w:pPr>
        <w:widowControl w:val="0"/>
        <w:rPr>
          <w:rFonts w:ascii="Tahoma" w:hAnsi="Tahoma" w:cs="Tahoma"/>
          <w:sz w:val="21"/>
          <w:szCs w:val="21"/>
        </w:rPr>
      </w:pP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Anthem Blue Cross &amp; Blue Shield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Baptist Health Lexington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Central Bank &amp; Trust Co    </w:t>
      </w:r>
    </w:p>
    <w:p w:rsidR="008A7D13" w:rsidRPr="001F4EDB" w:rsidRDefault="008A7D13" w:rsidP="008A7D13">
      <w:pPr>
        <w:pStyle w:val="ListParagraph"/>
        <w:numPr>
          <w:ilvl w:val="0"/>
          <w:numId w:val="1"/>
        </w:numPr>
        <w:rPr>
          <w:rFonts w:ascii="Tahoma" w:hAnsi="Tahoma" w:cs="Tahoma"/>
          <w:sz w:val="19"/>
          <w:szCs w:val="19"/>
        </w:rPr>
      </w:pPr>
      <w:proofErr w:type="spellStart"/>
      <w:r w:rsidRPr="001F4EDB">
        <w:rPr>
          <w:rFonts w:ascii="Tahoma" w:hAnsi="Tahoma" w:cs="Tahoma"/>
          <w:sz w:val="19"/>
          <w:szCs w:val="19"/>
        </w:rPr>
        <w:t>KentuckyOne</w:t>
      </w:r>
      <w:proofErr w:type="spellEnd"/>
      <w:r w:rsidRPr="001F4EDB">
        <w:rPr>
          <w:rFonts w:ascii="Tahoma" w:hAnsi="Tahoma" w:cs="Tahoma"/>
          <w:sz w:val="19"/>
          <w:szCs w:val="19"/>
        </w:rPr>
        <w:t xml:space="preserve"> Health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Lexmark International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 xml:space="preserve">Toyota Motor Manufacturing, Kentucky    </w:t>
      </w:r>
    </w:p>
    <w:p w:rsidR="008A7D13" w:rsidRPr="001F4EDB" w:rsidRDefault="008A7D13" w:rsidP="008A7D13">
      <w:pPr>
        <w:pStyle w:val="ListParagraph"/>
        <w:numPr>
          <w:ilvl w:val="0"/>
          <w:numId w:val="1"/>
        </w:numPr>
        <w:rPr>
          <w:rFonts w:ascii="Tahoma" w:hAnsi="Tahoma" w:cs="Tahoma"/>
          <w:sz w:val="19"/>
          <w:szCs w:val="19"/>
        </w:rPr>
      </w:pPr>
      <w:r w:rsidRPr="001F4EDB">
        <w:rPr>
          <w:rFonts w:ascii="Tahoma" w:hAnsi="Tahoma" w:cs="Tahoma"/>
          <w:sz w:val="19"/>
          <w:szCs w:val="19"/>
        </w:rPr>
        <w:t>University of Kentucky</w:t>
      </w:r>
    </w:p>
    <w:p w:rsidR="008A7D13" w:rsidRDefault="008A7D13" w:rsidP="008A7D13">
      <w:pPr>
        <w:pStyle w:val="ListParagraph"/>
        <w:rPr>
          <w:rFonts w:ascii="Tahoma" w:hAnsi="Tahoma" w:cs="Tahoma"/>
          <w:color w:val="333333"/>
          <w:sz w:val="19"/>
          <w:szCs w:val="19"/>
        </w:rPr>
      </w:pPr>
    </w:p>
    <w:p w:rsidR="008A7D13" w:rsidRPr="001F5C41" w:rsidRDefault="008A7D13" w:rsidP="008A7D13">
      <w:pPr>
        <w:rPr>
          <w:rFonts w:ascii="Tahoma" w:hAnsi="Tahoma" w:cs="Tahoma"/>
          <w:b/>
          <w:bCs/>
          <w:sz w:val="21"/>
          <w:szCs w:val="21"/>
        </w:rPr>
      </w:pPr>
      <w:r w:rsidRPr="000B2606">
        <w:rPr>
          <w:rFonts w:ascii="Tahoma" w:hAnsi="Tahoma" w:cs="Tahoma"/>
          <w:b/>
          <w:bCs/>
          <w:sz w:val="21"/>
          <w:szCs w:val="21"/>
        </w:rPr>
        <w:t>B</w:t>
      </w:r>
      <w:r w:rsidRPr="001F5C41">
        <w:rPr>
          <w:rFonts w:ascii="Tahoma" w:hAnsi="Tahoma" w:cs="Tahoma"/>
          <w:b/>
          <w:bCs/>
          <w:sz w:val="21"/>
          <w:szCs w:val="21"/>
        </w:rPr>
        <w:t>enefits for Gold Level Investors:</w:t>
      </w:r>
    </w:p>
    <w:p w:rsidR="008A7D13" w:rsidRPr="001F5C41" w:rsidRDefault="008A7D13" w:rsidP="008A7D13">
      <w:pPr>
        <w:pStyle w:val="ListParagraph"/>
        <w:numPr>
          <w:ilvl w:val="0"/>
          <w:numId w:val="2"/>
        </w:numPr>
        <w:rPr>
          <w:rFonts w:ascii="Tahoma" w:hAnsi="Tahoma" w:cs="Tahoma"/>
          <w:b/>
          <w:bCs/>
          <w:sz w:val="21"/>
          <w:szCs w:val="21"/>
          <w:u w:val="single"/>
        </w:rPr>
      </w:pPr>
      <w:r w:rsidRPr="001F5C41">
        <w:rPr>
          <w:rFonts w:ascii="Tahoma" w:hAnsi="Tahoma" w:cs="Tahoma"/>
          <w:sz w:val="21"/>
          <w:szCs w:val="21"/>
        </w:rPr>
        <w:t>Annual visit from the Commerce Lexington executive staff</w:t>
      </w:r>
    </w:p>
    <w:p w:rsidR="008A7D13" w:rsidRPr="001F5C41" w:rsidRDefault="008A7D13" w:rsidP="008A7D13">
      <w:pPr>
        <w:pStyle w:val="ListParagraph"/>
        <w:numPr>
          <w:ilvl w:val="0"/>
          <w:numId w:val="2"/>
        </w:numPr>
        <w:rPr>
          <w:rFonts w:ascii="Tahoma" w:hAnsi="Tahoma" w:cs="Tahoma"/>
          <w:sz w:val="21"/>
          <w:szCs w:val="21"/>
        </w:rPr>
      </w:pPr>
      <w:proofErr w:type="gramStart"/>
      <w:r w:rsidRPr="001F5C41">
        <w:rPr>
          <w:rFonts w:ascii="Tahoma" w:hAnsi="Tahoma" w:cs="Tahoma"/>
          <w:sz w:val="21"/>
          <w:szCs w:val="21"/>
        </w:rPr>
        <w:t>Plus</w:t>
      </w:r>
      <w:proofErr w:type="gramEnd"/>
      <w:r w:rsidRPr="001F5C41">
        <w:rPr>
          <w:rFonts w:ascii="Tahoma" w:hAnsi="Tahoma" w:cs="Tahoma"/>
          <w:sz w:val="21"/>
          <w:szCs w:val="21"/>
        </w:rPr>
        <w:t xml:space="preserve"> all SILVER, BRONZE &amp; STANDARD Level investor benefits</w:t>
      </w:r>
    </w:p>
    <w:p w:rsidR="00192F83" w:rsidRDefault="008A7D13">
      <w:bookmarkStart w:id="0" w:name="_GoBack"/>
      <w:bookmarkEnd w:id="0"/>
    </w:p>
    <w:sectPr w:rsidR="00192F83" w:rsidSect="004F797F">
      <w:pgSz w:w="12240" w:h="15840" w:code="1"/>
      <w:pgMar w:top="1440" w:right="1440" w:bottom="576" w:left="1440" w:header="720" w:footer="720" w:gutter="0"/>
      <w:paperSrc w:first="7" w:other="7"/>
      <w:pgNumType w:start="1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13" w:rsidRDefault="008A7D13">
    <w:pPr>
      <w:pStyle w:val="Footer"/>
      <w:jc w:val="center"/>
    </w:pPr>
  </w:p>
  <w:p w:rsidR="008A7D13" w:rsidRDefault="008A7D13" w:rsidP="004F6E76">
    <w:pPr>
      <w:pStyle w:val="Footer"/>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54A"/>
    <w:multiLevelType w:val="hybridMultilevel"/>
    <w:tmpl w:val="8536F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91919"/>
    <w:multiLevelType w:val="hybridMultilevel"/>
    <w:tmpl w:val="139CB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32F9F"/>
    <w:multiLevelType w:val="hybridMultilevel"/>
    <w:tmpl w:val="45AE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40597"/>
    <w:multiLevelType w:val="hybridMultilevel"/>
    <w:tmpl w:val="616E0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7F"/>
    <w:rsid w:val="000C2694"/>
    <w:rsid w:val="004F797F"/>
    <w:rsid w:val="007E680E"/>
    <w:rsid w:val="008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916"/>
  <w15:chartTrackingRefBased/>
  <w15:docId w15:val="{4388A154-1670-4193-B66F-A70EF52F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7D13"/>
    <w:pPr>
      <w:tabs>
        <w:tab w:val="center" w:pos="4320"/>
        <w:tab w:val="right" w:pos="8640"/>
      </w:tabs>
    </w:pPr>
  </w:style>
  <w:style w:type="character" w:customStyle="1" w:styleId="FooterChar">
    <w:name w:val="Footer Char"/>
    <w:basedOn w:val="DefaultParagraphFont"/>
    <w:link w:val="Footer"/>
    <w:uiPriority w:val="99"/>
    <w:rsid w:val="008A7D13"/>
    <w:rPr>
      <w:rFonts w:ascii="Times New Roman" w:eastAsia="Times New Roman" w:hAnsi="Times New Roman" w:cs="Times New Roman"/>
      <w:sz w:val="24"/>
      <w:szCs w:val="24"/>
    </w:rPr>
  </w:style>
  <w:style w:type="paragraph" w:styleId="ListParagraph">
    <w:name w:val="List Paragraph"/>
    <w:basedOn w:val="Normal"/>
    <w:uiPriority w:val="34"/>
    <w:qFormat/>
    <w:rsid w:val="008A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Zinger</dc:creator>
  <cp:keywords/>
  <dc:description/>
  <cp:lastModifiedBy>Dana Zinger</cp:lastModifiedBy>
  <cp:revision>2</cp:revision>
  <dcterms:created xsi:type="dcterms:W3CDTF">2018-09-07T13:10:00Z</dcterms:created>
  <dcterms:modified xsi:type="dcterms:W3CDTF">2018-09-07T13:10:00Z</dcterms:modified>
</cp:coreProperties>
</file>